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t-BR"/>
        </w:rPr>
        <w:t>ESTATUTO SOCIAL</w:t>
      </w: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t-BR"/>
        </w:rPr>
        <w:t xml:space="preserve"> </w:t>
      </w:r>
      <w:r w:rsidRPr="00C82BBB"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>CORTE INTERNACIONAL ARBITRAL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 xml:space="preserve"> -</w:t>
      </w:r>
      <w:proofErr w:type="gram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>CIA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 xml:space="preserve">CAPÍTULO I – DA DENOMINAÇÃO, SEDE, OBJETO E </w:t>
      </w:r>
      <w:proofErr w:type="gramStart"/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DURAÇÃO</w:t>
      </w:r>
      <w:proofErr w:type="gramEnd"/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Sob a égide dos princípios da justiça, da equidade e da cooperação entre as nações, constitui-se 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CORTE INTERNACIONAL ARBITRAL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(“CIA”), pessoa jurídica de direito privado, de caráter associativo, sem fins lucrativos, regida pelo presente Estatuto, pela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Lei nº 9.307/1996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pelo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Código Civil Brasileiro (</w:t>
      </w:r>
      <w:proofErr w:type="spellStart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arts</w:t>
      </w:r>
      <w:proofErr w:type="spellEnd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 53 a 61)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pela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Convenção de Nova Iorque de 1958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pela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Convenção Interamericana do Panamá de 1975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bem como por outros tratados e normas internacionais em matéria de arbitragem e métodos alternativos de solução de controvérsias.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tem sede e foro em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Brasília/DF, SHN Quadra </w:t>
      </w:r>
      <w:proofErr w:type="gramStart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proofErr w:type="gramEnd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, Asa Norte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podendo instituir Delegações, Representações e Câmaras Regionais em qualquer Estado da Federação ou no exterior, sempre que necessário ao cumprimento de suas finalidades institucionais.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Constituem-se finalidades da Corte: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Administrar procedimentos arbitrais nacionais e internacionais, atuando como foro independente, imparcial e reconhecido para dirimir controvérsias de direito patrimonial disponível;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Promover a mediação, a conciliação e demais métodos adequados de resolução de disputas;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Selecionar, habilitar e credenciar árbitros e mediadores, zelando por sua probidade, idoneidade e excelência técnica;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Estabelecer convênios e cooperação com entidades congêneres nacionais e estrangeiras;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 – Formar, capacitar e avaliar continuamente os membros de seu Corpo Arbitral e de Mediação;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VI – Fomentar a cultura da arbitragem e da mediação mediante seminários, cursos, congressos e publicações de caráter científico e técnico.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4º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terá duração por tempo indeterminado, regendo-se pelos princípios da legalidade, da imparcialidade, da confidencialidade, da celeridade e da segurança jurídica.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 xml:space="preserve">CAPÍTULO II – DOS MEMBROS, FILIAÇÃO E </w:t>
      </w:r>
      <w:proofErr w:type="gramStart"/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ADMISSÃO</w:t>
      </w:r>
      <w:proofErr w:type="gramEnd"/>
    </w:p>
    <w:p w:rsid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5º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São membros fundadores da Corte: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 –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Edson de Oliveira Porto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que exercerá a Presidência;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 –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Rogério Paulo Gomes Silva Porto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que exercerá a </w:t>
      </w:r>
      <w:proofErr w:type="spell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Secretaria-Geral</w:t>
      </w:r>
      <w:proofErr w:type="spell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III – </w:t>
      </w:r>
      <w:proofErr w:type="spellStart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Jhon</w:t>
      </w:r>
      <w:proofErr w:type="spellEnd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Venturini Porto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que exercerá cargo diretivo;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br/>
        <w:t>IV – Três membros do Conselho Fiscal, a serem oportunamente designados e investidos nos termos deste Estatuto.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6º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admite como membros associados árbitros, mediadores, juristas, advogados, acadêmicos e profissionais de comprovada idoneidade moral e reputação ilibada, desde que: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Sejam aprovados pela Presidência, mediante análise curricular, de conduta e de idoneidade;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 – Submetam-se 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prova de admissão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de caráter técnico-jurídico e institucional, destinada a avaliar conhecimentos em arbitragem, mediação e ética arbitral;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Assinem Termo de Compromisso e Conduta Ética, obrigando-se a respeitar o Estatuto, o Regimento Interno e as normas internacionais aplicáveis.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§ 1º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prova de admissão será elaborada e supervisionada pela </w:t>
      </w:r>
      <w:proofErr w:type="spell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Secretaria-Geral</w:t>
      </w:r>
      <w:proofErr w:type="spell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homologada pela Presidência e poderá conter provas escritas, orais e análise prática de casos simulados.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§ 2º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Presidência terá poder discricionário para aprovar ou rejeitar candidatos, observados os princípios da transparência, da razoabilidade e da impessoalidade.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§ 3º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ingresso como membro não confere, por si só, direito à participação em casos arbitrais, dependendo de credenciamento específico no Corpo de Árbitros ou de Mediadores.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7º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Os membros responderão disciplinarmente perante a Corte em casos de violação ética, conflito de interesse, parcialidade comprovada ou conduta incompatível com os princípios arbitrais.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III – DA ORGANIZAÇÃO ADMINISTRATIVA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8º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administração da Corte será exercida pelos seguintes órgãos, harmônicos e interdependentes: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 –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Presidência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poder supremo de direção e representação;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 – </w:t>
      </w:r>
      <w:proofErr w:type="spellStart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Secretaria-Geral</w:t>
      </w:r>
      <w:proofErr w:type="spell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órgão executivo e guardião dos registros;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III –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Diretoria Executiva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composta por diretores nomeados pela Presidência para áreas específicas;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IV –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Conselho Fiscal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órgão de fiscalização e controle contábil;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 –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Conselho Arbitral Internacional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corpo deliberativo de natureza consultiva e técnica.</w:t>
      </w:r>
    </w:p>
    <w:p w:rsid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9º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Compete à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Presidência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Representar a Corte judicial e extrajudicialmente, em âmbito nacional e internacional;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Nomear árbitros, mediadores, diretores e conselheiros, com poderes de delegação ou revogação;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Homologar o ingresso de novos membros e aprovar os resultados das provas de admissão;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Editar regulamentos complementares e expedir portarias executivas;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 – Firmar convênios, tratados e parcerias institucionais;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VI – Convocar e presidir assembleias e sessões solenes;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VII – Exercer poder de chancela final sobre decisões administrativas e disciplinares.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10º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Compete à </w:t>
      </w:r>
      <w:proofErr w:type="spellStart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Secretaria-Geral</w:t>
      </w:r>
      <w:proofErr w:type="spell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Organizar os autos de procedimentos arbitrais e de mediação, zelando pela guarda e sigilo dos documentos;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Lavrar atas, expedir notificações e comunicações oficiais;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Supervisionar provas de admissão e exames de credenciamento;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Manter o cadastro atualizado de árbitros, mediadores e membros;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 – Executar, </w:t>
      </w:r>
      <w:proofErr w:type="gram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sob comando</w:t>
      </w:r>
      <w:proofErr w:type="gram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Presidência, os atos administrativos necessários ao funcionamento da Corte.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11º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Diretoria Executiva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poderá ser composta por até </w:t>
      </w:r>
      <w:proofErr w:type="gram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proofErr w:type="gram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(cinco) diretores, nomeados pela Presidência, com atribuições específicas em áreas como: Arbitragem Nacional, Arbitragem Internacional, Mediação, Cooperação Acadêmica e Relações Institucionais.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12º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Conselho Fiscal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será composto por </w:t>
      </w:r>
      <w:proofErr w:type="gram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proofErr w:type="gram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(três) membros efetivos, com mandato de 2 (dois) anos, competindo-lhe: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Examinar os livros e registros contábeis da Corte;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Emitir parecer sobre a prestação de contas anual;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Fiscalizar o cumprimento das normas de transparência financeira.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13º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Conselho Arbitral Internacional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será integrado por árbitros de reconhecida experiência, com função consultiva, incumbindo-lhe: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Emitir pareceres técnicos e recomendações;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Auxiliar na harmonização de regulamentos e práticas arbitrais;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Propor medidas de cooperação com cortes estrangeiras.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IV – DO CORPO ARBITRAL E MEDIAÇÃO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14º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Corpo de Árbitros e Mediadores constitui o núcleo essencial da Corte, sendo formado por profissionais habilitados mediante processo de admissão e credenciamento.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15º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São princípios norteadores da atuação arbitral: independência, imparcialidade, competência, diligência, confidencialidade e transparência.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16º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escolha dos árbitros para cada procedimento observará: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Indicação das partes, quando houver;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Sorteio ou designação pela Presidência, na ausência de consenso;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Respeito à especialidade técnica do litígio.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17º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manterá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Código de Ética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próprio, vinculante para todos os árbitros e mediadores, cuja violação sujeitará o infrator a advertência, suspensão ou exclusão definitiva.</w:t>
      </w:r>
    </w:p>
    <w:p w:rsid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V – DO REGIMENTO INTERNO E PROCEDIMENTOS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18º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adotará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Regimento Interno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, aprovado pela Presidência e ratificado pela Assembleia de Membros, que disciplinará: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O procedimento arbitral nacional, nos termos da Lei nº 9.307/1996;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O procedimento arbitral internacional, em conformidade com tratados e convenções aplicáveis;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O procedimento de mediação e conciliação;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IV – O regime de custas, taxas </w:t>
      </w:r>
      <w:proofErr w:type="gram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administrativas e honorários arbitrais</w:t>
      </w:r>
      <w:proofErr w:type="gram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 – Normas de sigilo, confidencialidade e transparência;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VI – Critérios de seleção e avaliação periódica dos árbitros e mediadores.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19º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Regimento Interno terá força normativa vinculante, prevalecendo sobre regulamentos complementares e deliberações administrativas.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proofErr w:type="gramStart"/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VI</w:t>
      </w:r>
      <w:proofErr w:type="gramEnd"/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 xml:space="preserve"> – DA PRESTAÇÃO DE CONTAS E TRANSPARÊNCIA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20º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manterá escrituração contábil regular, observando os princípios da contabilidade e as normas brasileiras e internacionais de auditoria.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21º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prestação de contas será anual, submetida ao Conselho Fiscal e à Assembleia de Membros, acompanhada de balanço patrimonial, demonstrações financeiras e parecer técnico.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22º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Os relatórios financeiros e de atividades poderão ser publicados em meio físico ou eletrônico, garantindo-se transparência e acesso aos associados e interessados.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VII – DA COOPERAÇÃO INTERNACIONAL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23º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poderá firmar protocolos de cooperação, convênios e memorandos de entendimento com cortes arbitrais, universidades, organismos internacionais e entidades públicas ou privadas, nacionais ou estrangeiras.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24º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As sentenças arbitrais proferidas sob a égide da Corte buscarão reconhecimento e execução com base na 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Convenção de Nova Iorque de 1958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em tratados de que o Brasil seja signatário.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25º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Corte poderá indicar representantes em organismos internacionais, fóruns multilaterais e eventos oficiais de caráter arbitral.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VIII – DA DISSOLUÇÃO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26º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dissolução da Corte somente poderá ocorrer mediante deliberação de Assembleia Extraordinária convocada para esse fim, com quórum mínimo de 2/3 (dois terços) dos membros fundadores.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27º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Em caso de dissolução, o patrimônio líquido será destinado </w:t>
      </w:r>
      <w:proofErr w:type="gram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entidade congênere, com objeto institucional semelhante, definida pela Assembleia.</w:t>
      </w:r>
    </w:p>
    <w:p w:rsidR="00C82BBB" w:rsidRPr="00C82BBB" w:rsidRDefault="00C82BBB" w:rsidP="00C82B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>CAPÍTULO IX – DAS DISPOSIÇÕES FINAIS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28º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exercício social coincidirá com o ano civil, encerrando-se em 31 de dezembro de cada ano.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29º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Este Estatuto somente poderá ser alterado mediante deliberação da Assembleia Geral, por iniciativa da Presidência ou de 1/3 (um terço) dos membros habilitados, exigindo-se quórum qualificado de 2/3 (dois terços) dos presentes.</w:t>
      </w:r>
    </w:p>
    <w:p w:rsid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30º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Os casos omissos serão resolvidos pela Presidência, ouvido o Conselho Arbitral Internacional, observada a legislação aplicável.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Default="00C82BBB" w:rsidP="00C82BB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t-BR"/>
        </w:rPr>
        <w:t>CLÁUSULAS FINAIS E ASSINATURA</w:t>
      </w:r>
    </w:p>
    <w:p w:rsidR="00C82BBB" w:rsidRPr="00C82BBB" w:rsidRDefault="00C82BBB" w:rsidP="00C82BB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31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presente Estatuto foi lido, discutido e aprovado em assembleia de constituição, passando a vigorar imediatamente após a sua assinatura pelos membros fundadores, devendo ser registrado em Cartório de Registro Civil de Pessoas </w:t>
      </w:r>
      <w:proofErr w:type="gram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Jurídicas competente</w:t>
      </w:r>
      <w:proofErr w:type="gram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observado o disposto nos </w:t>
      </w:r>
      <w:proofErr w:type="spellStart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arts</w:t>
      </w:r>
      <w:proofErr w:type="spellEnd"/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>. 120 a 122 do Código Civil Brasileiro e demais normas aplicáveis.</w:t>
      </w:r>
    </w:p>
    <w:p w:rsidR="00C82BBB" w:rsidRP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32</w:t>
      </w: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Os casos omissos neste Estatuto serão resolvidos pela Presidência, ad referendum da Diretoria Executiva, respeitados os princípios gerais do direito, a Lei de Arbitragem (Lei nº 9.307/96), a legislação civil brasileira e os tratados internacionais ratificados pelo Brasil em matéria arbitral.</w:t>
      </w:r>
    </w:p>
    <w:p w:rsid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47º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Este Estatuto é celebrado em caráter solene, em conformidade com a boa-fé e os usos da arbitragem internacional, devendo ser interpretado de forma a assegurar a efetividade, a imparcialidade e a autoridade desta Corte no âmbito nacional e internacional.</w:t>
      </w:r>
    </w:p>
    <w:p w:rsid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82BBB" w:rsidRPr="00C82BBB" w:rsidRDefault="00C82BBB" w:rsidP="00C82B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Brasília/DF, ____ de ___________ de 2025.</w:t>
      </w:r>
    </w:p>
    <w:p w:rsidR="00C82BBB" w:rsidRPr="00C82BBB" w:rsidRDefault="00C82BBB" w:rsidP="00C82B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C82BBB" w:rsidRPr="00C82BBB" w:rsidRDefault="00C82BBB" w:rsidP="00C82B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ASSINAM OS MEMBROS FUNDADORES:</w:t>
      </w:r>
    </w:p>
    <w:p w:rsidR="00C82BBB" w:rsidRP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Edson de Oliveira Porto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Presidente</w:t>
      </w:r>
    </w:p>
    <w:p w:rsidR="00C82BBB" w:rsidRP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Rogério Paulo Gomes Silva Porto</w:t>
      </w:r>
      <w:r w:rsidRPr="00C82BB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Secretário-Geral</w:t>
      </w:r>
    </w:p>
    <w:p w:rsidR="00C82BBB" w:rsidRPr="00C82BBB" w:rsidRDefault="00C82BBB" w:rsidP="00C82B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Jhon</w:t>
      </w:r>
      <w:proofErr w:type="spellEnd"/>
      <w:r w:rsidRPr="00C82BB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Venturini Porto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Tesoureiro </w:t>
      </w:r>
    </w:p>
    <w:p w:rsidR="00432C7F" w:rsidRPr="00C82BBB" w:rsidRDefault="00432C7F" w:rsidP="00C82BBB">
      <w:pPr>
        <w:jc w:val="both"/>
        <w:rPr>
          <w:sz w:val="24"/>
          <w:szCs w:val="24"/>
        </w:rPr>
      </w:pPr>
    </w:p>
    <w:sectPr w:rsidR="00432C7F" w:rsidRPr="00C82BBB" w:rsidSect="007C7875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C82BBB"/>
    <w:rsid w:val="000B6528"/>
    <w:rsid w:val="00432C7F"/>
    <w:rsid w:val="007C7875"/>
    <w:rsid w:val="00C82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C7F"/>
  </w:style>
  <w:style w:type="paragraph" w:styleId="Ttulo1">
    <w:name w:val="heading 1"/>
    <w:basedOn w:val="Normal"/>
    <w:link w:val="Ttulo1Char"/>
    <w:uiPriority w:val="9"/>
    <w:qFormat/>
    <w:rsid w:val="00C82B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82B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2BB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82BB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C82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82BB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72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1679</Words>
  <Characters>9070</Characters>
  <Application>Microsoft Office Word</Application>
  <DocSecurity>0</DocSecurity>
  <Lines>75</Lines>
  <Paragraphs>21</Paragraphs>
  <ScaleCrop>false</ScaleCrop>
  <Company/>
  <LinksUpToDate>false</LinksUpToDate>
  <CharactersWithSpaces>10728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Brasil</dc:creator>
  <cp:lastModifiedBy>Brasil</cp:lastModifiedBy>
  <cp:revision>1</cp:revision>
  <dcterms:created xsi:type="dcterms:W3CDTF">2025-09-17T22:01:00Z</dcterms:created>
  <dcterms:modified xsi:type="dcterms:W3CDTF">2025-09-17T22:07:00Z</dcterms:modified>
</cp:coreProperties>
</file>