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D73" w:rsidRPr="00564D73" w:rsidRDefault="00564D73" w:rsidP="00564D7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REGIMENTO INTERNO</w:t>
      </w:r>
    </w:p>
    <w:p w:rsidR="00564D73" w:rsidRPr="00564D73" w:rsidRDefault="00564D73" w:rsidP="00564D7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CORTE INTERNACIONAL ARBITRAL – CIA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I – DAS DISPOSIÇÕES GERAIS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presente Regimento Interno regula a organização administrativa, funcional e processual da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Corte Internacional Arbitral (CIA)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órgão de </w:t>
      </w:r>
      <w:proofErr w:type="gramStart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natureza privada, com atuação nacional e internacional, e com objetivo de resolver controvérsias por meio de arbitragem e mediação, em conformidade com a Lei nº 9.307/1996 e tratados internacionais</w:t>
      </w:r>
      <w:proofErr w:type="gramEnd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que o Brasil seja signatário.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CIA atua com base nos princípios da: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 –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Imparcialidade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 –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Confidencialidade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III –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Celeridade e eficiência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IV –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Legalidade e formalidade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 –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Transparência e publicidade quando cabível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VI –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Efetividade das decisões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3º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Regimento Interno possui caráter obrigatório e complementar ao Estatuto Social, vinculando todos os membros, árbitros, mediadores, diretores e colaboradores da Corte.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CAPÍTULO II – DOS MEMBROS, INGRESSO E </w:t>
      </w:r>
      <w:proofErr w:type="gramStart"/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ADMISSÃO</w:t>
      </w:r>
      <w:proofErr w:type="gramEnd"/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4º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ingresso de novos membros será condicionado a: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Aprovação formal da Presidência;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 – Realização da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Prova de Admissão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, composta por:</w:t>
      </w:r>
    </w:p>
    <w:p w:rsidR="00564D73" w:rsidRPr="00564D73" w:rsidRDefault="00564D73" w:rsidP="00564D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Testes escritos sobre legislação nacional e internacional de arbitragem;</w:t>
      </w:r>
    </w:p>
    <w:p w:rsidR="00564D73" w:rsidRPr="00564D73" w:rsidRDefault="00564D73" w:rsidP="00564D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Estudo de casos práticos, incluindo análise de conflitos complexos;</w:t>
      </w:r>
    </w:p>
    <w:p w:rsidR="00564D73" w:rsidRPr="00564D73" w:rsidRDefault="00564D73" w:rsidP="00564D7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Avaliação oral de raciocínio jurídico, ética e conduta processual;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 xml:space="preserve">III – Assinatura do </w:t>
      </w: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Termo de Compromisso Ético e de Sigilo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, vinculando o membro às normas da CIA.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5º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Categorias de membros:</w:t>
      </w:r>
    </w:p>
    <w:p w:rsidR="00564D73" w:rsidRPr="00564D73" w:rsidRDefault="00564D73" w:rsidP="00564D7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Membros Plenos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: aptos a atuar como árbitros ou mediadores;</w:t>
      </w:r>
    </w:p>
    <w:p w:rsidR="00564D73" w:rsidRPr="00564D73" w:rsidRDefault="00564D73" w:rsidP="00564D7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Membros Consultivos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: especialistas em estudos, pareceres e publicações;</w:t>
      </w:r>
    </w:p>
    <w:p w:rsidR="00564D73" w:rsidRPr="00564D73" w:rsidRDefault="00564D73" w:rsidP="00564D7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Membros Honorários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: distinção conferida por contribuições relevantes à Corte.</w:t>
      </w:r>
    </w:p>
    <w:p w:rsid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6º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Todos os membros devem manter conduta compatível com os princípios da CIA, podendo ser submetidos a sanções disciplinares, incluindo: advertência, suspensão temporária ou exclusão definitiva.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III – DO CORPO ARBITRAL E DE MEDIAÇÃO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7º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Corpo Arbitral será composto por profissionais credenciados, especializados e com experiência comprovada.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8º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O credenciamento observará: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Idoneidade moral;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Experiência prática em arbitragem ou mediação;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Conhecimento técnico-jurídico específico;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Formação acadêmica compatível e contínua atualização profissional.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9º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Seleção de árbitros para procedimentos:</w:t>
      </w:r>
    </w:p>
    <w:p w:rsidR="00564D73" w:rsidRPr="00564D73" w:rsidRDefault="00564D73" w:rsidP="00564D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Preferência por indicação das partes;</w:t>
      </w:r>
    </w:p>
    <w:p w:rsidR="00564D73" w:rsidRPr="00564D73" w:rsidRDefault="00564D73" w:rsidP="00564D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Sorteio ou escolha pela Presidência na ausência de consenso;</w:t>
      </w:r>
    </w:p>
    <w:p w:rsidR="00564D73" w:rsidRPr="00564D73" w:rsidRDefault="00564D73" w:rsidP="00564D7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Observância da especialidade técnica do litígio.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10º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Princípios obrigatórios para árbitros e mediadores: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 – Sigilo absoluto;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Imparcialidade;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Rigor técnico;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IV – Conduta ética;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V – Diligência na condução do procedimento.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11º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Honorários e custas:</w:t>
      </w:r>
    </w:p>
    <w:p w:rsidR="00564D73" w:rsidRPr="00564D73" w:rsidRDefault="00564D73" w:rsidP="00564D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Fixados previamente, registrados e auditados;</w:t>
      </w:r>
    </w:p>
    <w:p w:rsidR="00564D73" w:rsidRPr="00564D73" w:rsidRDefault="00564D73" w:rsidP="00564D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Não geram vínculo empregatício;</w:t>
      </w:r>
    </w:p>
    <w:p w:rsidR="00564D73" w:rsidRPr="00564D73" w:rsidRDefault="00564D73" w:rsidP="00564D7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Observam tabela de referência da Corte.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IV – DOS PROCEDIMENTOS ARBITRAIS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12º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Tipos de procedimentos:</w:t>
      </w:r>
    </w:p>
    <w:p w:rsidR="00564D73" w:rsidRDefault="00564D73" w:rsidP="00564D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Arbitragem Nacional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regida pela Lei nº 9.307/1996;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Arbitragem Internacional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regida por tratados e convenções internacionais;</w:t>
      </w:r>
    </w:p>
    <w:p w:rsidR="00564D73" w:rsidRPr="00564D73" w:rsidRDefault="00564D73" w:rsidP="00564D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Mediação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para solução consensual de conflitos;</w:t>
      </w:r>
    </w:p>
    <w:p w:rsidR="00564D73" w:rsidRPr="00564D73" w:rsidRDefault="00564D73" w:rsidP="00564D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Arbitragem de Emergência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para medidas provisórias e urgentes;</w:t>
      </w:r>
    </w:p>
    <w:p w:rsidR="00564D73" w:rsidRPr="00564D73" w:rsidRDefault="00564D73" w:rsidP="00564D7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Arbitragem Provisória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com efeitos imediatos, enquanto pendente decisão final.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13º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Etapas do procedimento:</w:t>
      </w:r>
    </w:p>
    <w:p w:rsidR="00564D73" w:rsidRPr="00564D73" w:rsidRDefault="00564D73" w:rsidP="00564D7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Petição Inicial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apresentação de controvérsia e documentação;</w:t>
      </w:r>
    </w:p>
    <w:p w:rsidR="00564D73" w:rsidRPr="00564D73" w:rsidRDefault="00564D73" w:rsidP="00564D7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Constituição do Tribunal Arbitral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designação de árbitros e mediadores;</w:t>
      </w:r>
    </w:p>
    <w:p w:rsidR="00564D73" w:rsidRPr="00564D73" w:rsidRDefault="00564D73" w:rsidP="00564D7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Audiências e Instruções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coleta de provas, depoimentos, perícias técnicas;</w:t>
      </w:r>
    </w:p>
    <w:p w:rsidR="00564D73" w:rsidRPr="00564D73" w:rsidRDefault="00564D73" w:rsidP="00564D7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Deliberação e Sentença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decisão fundamentada e obrigatória;</w:t>
      </w:r>
    </w:p>
    <w:p w:rsidR="00564D73" w:rsidRPr="00564D73" w:rsidRDefault="00564D73" w:rsidP="00564D7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Execução e Homologação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conforme </w:t>
      </w:r>
      <w:proofErr w:type="gramStart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legislação nacional e tratados internacionais</w:t>
      </w:r>
      <w:proofErr w:type="gramEnd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14º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Presidência supervisiona a conformidade processual e pode designar árbitros suplentes, se necessário, para garantir celeridade.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V – DO REGIMENTO ADMINISTRATIVO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15º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Presidência: autoridade máxima, com poderes de:</w:t>
      </w:r>
    </w:p>
    <w:p w:rsidR="00564D73" w:rsidRPr="00564D73" w:rsidRDefault="00564D73" w:rsidP="00564D7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Nomeação e exoneração de diretores e conselheiros;</w:t>
      </w:r>
    </w:p>
    <w:p w:rsidR="00564D73" w:rsidRPr="00564D73" w:rsidRDefault="00564D73" w:rsidP="00564D7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Homologação de provas de admissão;</w:t>
      </w:r>
    </w:p>
    <w:p w:rsidR="00564D73" w:rsidRPr="00564D73" w:rsidRDefault="00564D73" w:rsidP="00564D7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Supervisão de atos administrativos e regulamentares.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16º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</w:t>
      </w:r>
      <w:proofErr w:type="spellStart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Secretaria-Geral</w:t>
      </w:r>
      <w:proofErr w:type="spellEnd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:rsidR="00564D73" w:rsidRPr="00564D73" w:rsidRDefault="00564D73" w:rsidP="00564D7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Guarda de autos e documentos;</w:t>
      </w:r>
    </w:p>
    <w:p w:rsidR="00564D73" w:rsidRPr="00564D73" w:rsidRDefault="00564D73" w:rsidP="00564D7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Expedição de certificados de credenciamento;</w:t>
      </w:r>
    </w:p>
    <w:p w:rsidR="00564D73" w:rsidRPr="00564D73" w:rsidRDefault="00564D73" w:rsidP="00564D7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Organização da prova de admissão;</w:t>
      </w:r>
    </w:p>
    <w:p w:rsidR="00564D73" w:rsidRPr="00564D73" w:rsidRDefault="00564D73" w:rsidP="00564D7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Comunicação oficial da Corte.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17º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Diretoria Executiva: câmaras especializadas:</w:t>
      </w:r>
    </w:p>
    <w:p w:rsidR="00564D73" w:rsidRPr="00564D73" w:rsidRDefault="00564D73" w:rsidP="00564D7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Nacional, Internacional, Mediação, Técnica e Estudos/Publicações.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proofErr w:type="gramStart"/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VI</w:t>
      </w:r>
      <w:proofErr w:type="gramEnd"/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 – DA COOPERAÇÃO, REPRESENTAÇÃO E DELEGADOS</w:t>
      </w:r>
    </w:p>
    <w:p w:rsid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18º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Representantes e delegados municipais, estaduais e internacionais: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Aprovados pela Presidência;</w:t>
      </w:r>
    </w:p>
    <w:p w:rsidR="00564D73" w:rsidRPr="00564D73" w:rsidRDefault="00564D73" w:rsidP="00564D7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Submetidos à prova de credenciamento;</w:t>
      </w:r>
    </w:p>
    <w:p w:rsidR="00564D73" w:rsidRPr="00564D73" w:rsidRDefault="00564D73" w:rsidP="00564D7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Assinam Termo de Compromisso e limites de atuação;</w:t>
      </w:r>
    </w:p>
    <w:p w:rsidR="00564D73" w:rsidRPr="00564D73" w:rsidRDefault="00564D73" w:rsidP="00564D7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Autonomia operacional limitada ao escopo de representação, sem poder de decisão final da Corte.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19º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Delegados devem reportar periodicamente atividades, estatísticas e procedimentos à Presidência.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VII – DAS DISPOSIÇÕES FINANCEIRAS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20º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Recursos da Corte:</w:t>
      </w:r>
    </w:p>
    <w:p w:rsidR="00564D73" w:rsidRPr="00564D73" w:rsidRDefault="00564D73" w:rsidP="00564D7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Taxas administrativas e honorários</w:t>
      </w:r>
      <w:proofErr w:type="gramEnd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;</w:t>
      </w:r>
    </w:p>
    <w:p w:rsidR="00564D73" w:rsidRPr="00564D73" w:rsidRDefault="00564D73" w:rsidP="00564D7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Cursos, seminários e treinamentos;</w:t>
      </w:r>
    </w:p>
    <w:p w:rsidR="00564D73" w:rsidRPr="00564D73" w:rsidRDefault="00564D73" w:rsidP="00564D7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Convênios, doações e contribuições;</w:t>
      </w:r>
    </w:p>
    <w:p w:rsidR="00564D73" w:rsidRPr="00564D73" w:rsidRDefault="00564D73" w:rsidP="00564D7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Publicações técnicas.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21º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Prestação de contas anual:</w:t>
      </w:r>
    </w:p>
    <w:p w:rsidR="00564D73" w:rsidRPr="00564D73" w:rsidRDefault="00564D73" w:rsidP="00564D7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Auditada pelo Conselho Fiscal;</w:t>
      </w:r>
    </w:p>
    <w:p w:rsidR="00564D73" w:rsidRPr="00564D73" w:rsidRDefault="00564D73" w:rsidP="00564D7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Publicação de balanço patrimonial, demonstrações financeiras e parecer técnico.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VIII – DA DISSOLUÇÃO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22º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Dissolução mediante deliberação de Assembleia Extraordinária, quórum mínimo 2/3 dos membros fundadores.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23º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Patrimônio remanescente destinado </w:t>
      </w:r>
      <w:proofErr w:type="gramStart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entidade congênere, definida em assembleia.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IX – DAS DISPOSIÇÕES FINAIS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24º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Alterações do Regimento Interno: mediante deliberação da Presidência e aprovação da Assembleia Geral.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25º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Casos omissos resolvidos pela Presidência, ouvido Conselho Arbitral Internacional, respeitando legislação nacional e tratados internacionais.</w:t>
      </w:r>
    </w:p>
    <w:p w:rsidR="00564D73" w:rsidRPr="00564D73" w:rsidRDefault="00564D73" w:rsidP="00564D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64D73" w:rsidRPr="00564D73" w:rsidRDefault="00564D73" w:rsidP="00564D73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CAPÍTULO X – DO PROCESSO DE ADMISSÃO E AVALIAÇÃO DE ÁRBITROS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26º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 prova de admissão será composta por:</w:t>
      </w:r>
    </w:p>
    <w:p w:rsidR="00564D73" w:rsidRPr="00564D73" w:rsidRDefault="00564D73" w:rsidP="00564D7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Fase Escrita: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questões de legislação, arbitragem nacional e internacional, estudos de caso;</w:t>
      </w:r>
    </w:p>
    <w:p w:rsidR="00564D73" w:rsidRPr="00564D73" w:rsidRDefault="00564D73" w:rsidP="00564D7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Fase Oral: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defesa de soluções, análise crítica de casos complexos;</w:t>
      </w:r>
    </w:p>
    <w:p w:rsidR="00564D73" w:rsidRPr="00564D73" w:rsidRDefault="00564D73" w:rsidP="00564D7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Fase Prática: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simulação de procedimento arbitral ou mediação.</w:t>
      </w:r>
    </w:p>
    <w:p w:rsidR="00564D73" w:rsidRPr="00564D73" w:rsidRDefault="00564D73" w:rsidP="00564D7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27º</w:t>
      </w: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– Avaliação de árbitros e mediadores:</w:t>
      </w:r>
    </w:p>
    <w:p w:rsidR="00564D73" w:rsidRPr="00564D73" w:rsidRDefault="00564D73" w:rsidP="00564D7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Critérios técnicos, éticos e de conduta;</w:t>
      </w:r>
    </w:p>
    <w:p w:rsidR="00564D73" w:rsidRPr="00564D73" w:rsidRDefault="00564D73" w:rsidP="00564D7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Atualização e recertificação periódica a cada </w:t>
      </w:r>
      <w:proofErr w:type="gramStart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2</w:t>
      </w:r>
      <w:proofErr w:type="gramEnd"/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anos;</w:t>
      </w:r>
    </w:p>
    <w:p w:rsidR="00564D73" w:rsidRPr="00564D73" w:rsidRDefault="00564D73" w:rsidP="00564D7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64D73">
        <w:rPr>
          <w:rFonts w:ascii="Times New Roman" w:eastAsia="Times New Roman" w:hAnsi="Times New Roman" w:cs="Times New Roman"/>
          <w:sz w:val="24"/>
          <w:szCs w:val="24"/>
          <w:lang w:eastAsia="pt-BR"/>
        </w:rPr>
        <w:t>Possibilidade de suspensão ou exclusão em caso de desempenho insuficiente ou violação ética.</w:t>
      </w:r>
    </w:p>
    <w:p w:rsidR="00432C7F" w:rsidRDefault="00432C7F"/>
    <w:sectPr w:rsidR="00432C7F" w:rsidSect="007C7875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F09B7"/>
    <w:multiLevelType w:val="multilevel"/>
    <w:tmpl w:val="BB902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7029AD"/>
    <w:multiLevelType w:val="multilevel"/>
    <w:tmpl w:val="2CDC8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9510CB"/>
    <w:multiLevelType w:val="multilevel"/>
    <w:tmpl w:val="D3C02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9478C1"/>
    <w:multiLevelType w:val="multilevel"/>
    <w:tmpl w:val="87CC3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02537C"/>
    <w:multiLevelType w:val="multilevel"/>
    <w:tmpl w:val="05C6C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43038F1"/>
    <w:multiLevelType w:val="multilevel"/>
    <w:tmpl w:val="87DC6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7373B94"/>
    <w:multiLevelType w:val="multilevel"/>
    <w:tmpl w:val="09FEC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3672A1"/>
    <w:multiLevelType w:val="multilevel"/>
    <w:tmpl w:val="94B0A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E9248B"/>
    <w:multiLevelType w:val="multilevel"/>
    <w:tmpl w:val="412EC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1264ED"/>
    <w:multiLevelType w:val="multilevel"/>
    <w:tmpl w:val="296A1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6F37C46"/>
    <w:multiLevelType w:val="multilevel"/>
    <w:tmpl w:val="9E4EB6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7BF07A4"/>
    <w:multiLevelType w:val="multilevel"/>
    <w:tmpl w:val="B574A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6B76A0"/>
    <w:multiLevelType w:val="multilevel"/>
    <w:tmpl w:val="6F7A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5E72A4C"/>
    <w:multiLevelType w:val="multilevel"/>
    <w:tmpl w:val="C60E9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13"/>
  </w:num>
  <w:num w:numId="4">
    <w:abstractNumId w:val="11"/>
  </w:num>
  <w:num w:numId="5">
    <w:abstractNumId w:val="3"/>
  </w:num>
  <w:num w:numId="6">
    <w:abstractNumId w:val="10"/>
  </w:num>
  <w:num w:numId="7">
    <w:abstractNumId w:val="12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0"/>
  </w:num>
  <w:num w:numId="13">
    <w:abstractNumId w:val="1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564D73"/>
    <w:rsid w:val="000B6528"/>
    <w:rsid w:val="00432C7F"/>
    <w:rsid w:val="00564D73"/>
    <w:rsid w:val="007C78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C7F"/>
  </w:style>
  <w:style w:type="paragraph" w:styleId="Ttulo1">
    <w:name w:val="heading 1"/>
    <w:basedOn w:val="Normal"/>
    <w:link w:val="Ttulo1Char"/>
    <w:uiPriority w:val="9"/>
    <w:qFormat/>
    <w:rsid w:val="00564D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564D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64D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564D7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564D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564D7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959</Words>
  <Characters>5184</Characters>
  <Application>Microsoft Office Word</Application>
  <DocSecurity>0</DocSecurity>
  <Lines>43</Lines>
  <Paragraphs>12</Paragraphs>
  <ScaleCrop>false</ScaleCrop>
  <Company/>
  <LinksUpToDate>false</LinksUpToDate>
  <CharactersWithSpaces>6131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Brasil</dc:creator>
  <cp:lastModifiedBy>Brasil</cp:lastModifiedBy>
  <cp:revision>1</cp:revision>
  <dcterms:created xsi:type="dcterms:W3CDTF">2025-09-17T22:08:00Z</dcterms:created>
  <dcterms:modified xsi:type="dcterms:W3CDTF">2025-09-17T22:11:00Z</dcterms:modified>
</cp:coreProperties>
</file>